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36"/>
        </w:rPr>
      </w:pPr>
      <w:bookmarkStart w:id="3" w:name="_GoBack"/>
      <w:bookmarkEnd w:id="3"/>
      <w:r>
        <w:rPr>
          <w:rFonts w:hint="eastAsia" w:ascii="黑体" w:eastAsia="黑体"/>
          <w:sz w:val="28"/>
        </w:rPr>
        <w:t>附件1</w:t>
      </w:r>
    </w:p>
    <w:p>
      <w:pPr>
        <w:adjustRightInd w:val="0"/>
        <w:snapToGrid w:val="0"/>
        <w:spacing w:line="360" w:lineRule="auto"/>
        <w:jc w:val="center"/>
        <w:rPr>
          <w:rFonts w:ascii="宋体"/>
          <w:b/>
          <w:bCs/>
          <w:sz w:val="36"/>
        </w:rPr>
      </w:pPr>
      <w:r>
        <w:rPr>
          <w:rFonts w:hint="eastAsia" w:ascii="宋体"/>
          <w:b/>
          <w:bCs/>
          <w:sz w:val="36"/>
        </w:rPr>
        <w:t>中国石油和化工行业知识产权示范企业</w:t>
      </w:r>
    </w:p>
    <w:p>
      <w:pPr>
        <w:adjustRightInd w:val="0"/>
        <w:snapToGrid w:val="0"/>
        <w:spacing w:line="360" w:lineRule="auto"/>
        <w:jc w:val="center"/>
        <w:rPr>
          <w:rFonts w:ascii="宋体"/>
          <w:b/>
          <w:bCs/>
          <w:sz w:val="36"/>
        </w:rPr>
      </w:pPr>
      <w:r>
        <w:rPr>
          <w:rFonts w:hint="eastAsia" w:ascii="宋体"/>
          <w:b/>
          <w:bCs/>
          <w:sz w:val="36"/>
        </w:rPr>
        <w:t>认定管理办法</w:t>
      </w:r>
    </w:p>
    <w:p>
      <w:pPr>
        <w:adjustRightInd w:val="0"/>
        <w:snapToGrid w:val="0"/>
        <w:spacing w:line="360" w:lineRule="auto"/>
        <w:jc w:val="center"/>
        <w:rPr>
          <w:rFonts w:ascii="宋体"/>
          <w:b/>
          <w:bCs/>
          <w:sz w:val="28"/>
        </w:rPr>
      </w:pPr>
      <w:r>
        <w:rPr>
          <w:rFonts w:hint="eastAsia" w:ascii="宋体"/>
          <w:b/>
          <w:bCs/>
          <w:sz w:val="28"/>
        </w:rPr>
        <w:t>（2020年修订）</w:t>
      </w:r>
    </w:p>
    <w:p>
      <w:pPr>
        <w:adjustRightInd w:val="0"/>
        <w:snapToGrid w:val="0"/>
        <w:spacing w:line="360" w:lineRule="auto"/>
        <w:jc w:val="center"/>
        <w:rPr>
          <w:rFonts w:ascii="黑体" w:eastAsia="黑体"/>
          <w:bCs/>
          <w:sz w:val="28"/>
        </w:rPr>
      </w:pPr>
      <w:r>
        <w:rPr>
          <w:rFonts w:hint="eastAsia" w:ascii="黑体" w:eastAsia="黑体"/>
          <w:bCs/>
          <w:sz w:val="28"/>
        </w:rPr>
        <w:t>第一章  总则</w:t>
      </w:r>
    </w:p>
    <w:p>
      <w:pPr>
        <w:adjustRightInd w:val="0"/>
        <w:snapToGrid w:val="0"/>
        <w:spacing w:line="360" w:lineRule="auto"/>
        <w:ind w:firstLine="560" w:firstLineChars="200"/>
        <w:rPr>
          <w:rFonts w:ascii="黑体" w:eastAsia="黑体"/>
          <w:sz w:val="28"/>
        </w:rPr>
      </w:pPr>
      <w:r>
        <w:rPr>
          <w:rFonts w:hint="eastAsia" w:ascii="黑体" w:eastAsia="黑体"/>
          <w:sz w:val="28"/>
        </w:rPr>
        <w:t xml:space="preserve">第一条  </w:t>
      </w:r>
      <w:r>
        <w:rPr>
          <w:rFonts w:hint="eastAsia" w:ascii="仿宋_GB2312" w:eastAsia="仿宋_GB2312"/>
          <w:sz w:val="28"/>
        </w:rPr>
        <w:t>为</w:t>
      </w:r>
      <w:r>
        <w:rPr>
          <w:rFonts w:ascii="仿宋_GB2312" w:eastAsia="仿宋_GB2312"/>
          <w:sz w:val="28"/>
        </w:rPr>
        <w:t>贯彻落实《中国制造2025》和《</w:t>
      </w:r>
      <w:r>
        <w:rPr>
          <w:rFonts w:hint="eastAsia" w:ascii="仿宋_GB2312" w:eastAsia="仿宋_GB2312"/>
          <w:sz w:val="28"/>
        </w:rPr>
        <w:t>“十三五”国家知识产权保护和运用规划</w:t>
      </w:r>
      <w:r>
        <w:rPr>
          <w:rFonts w:ascii="仿宋_GB2312" w:eastAsia="仿宋_GB2312"/>
          <w:sz w:val="28"/>
        </w:rPr>
        <w:t>》，提升</w:t>
      </w:r>
      <w:r>
        <w:rPr>
          <w:rFonts w:hint="eastAsia" w:ascii="仿宋_GB2312" w:eastAsia="仿宋_GB2312"/>
          <w:sz w:val="28"/>
        </w:rPr>
        <w:t>行</w:t>
      </w:r>
      <w:r>
        <w:rPr>
          <w:rFonts w:ascii="仿宋_GB2312" w:eastAsia="仿宋_GB2312"/>
          <w:sz w:val="28"/>
        </w:rPr>
        <w:t>业企业知识产权保护意识和运用能力</w:t>
      </w:r>
      <w:r>
        <w:rPr>
          <w:rFonts w:hint="eastAsia" w:ascii="仿宋_GB2312" w:eastAsia="仿宋_GB2312"/>
          <w:sz w:val="28"/>
        </w:rPr>
        <w:t>，</w:t>
      </w:r>
      <w:r>
        <w:rPr>
          <w:rFonts w:ascii="仿宋_GB2312" w:eastAsia="仿宋_GB2312"/>
          <w:sz w:val="28"/>
        </w:rPr>
        <w:t>强化企业创新主体地位，促进企业知识产权成果转化运用，推动工业转型升级，提升产业竞争力</w:t>
      </w:r>
      <w:r>
        <w:rPr>
          <w:rFonts w:hint="eastAsia" w:ascii="仿宋_GB2312" w:eastAsia="仿宋_GB2312"/>
          <w:sz w:val="28"/>
        </w:rPr>
        <w:t>，特制订本办法。</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第二条</w:t>
      </w:r>
      <w:r>
        <w:rPr>
          <w:rFonts w:hint="eastAsia" w:ascii="仿宋_GB2312" w:eastAsia="仿宋_GB2312"/>
          <w:sz w:val="28"/>
        </w:rPr>
        <w:t xml:space="preserve">  中国石油和化工行业知识产权示范企业（以下简称“示范企业”）是指在石油和化学工业相关产业或领域中知识产权创造能力较强、重视知识产权保护、注重知识产权转化应用、具有重要示范引领作用的企业。</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第三条</w:t>
      </w:r>
      <w:r>
        <w:rPr>
          <w:rFonts w:hint="eastAsia" w:ascii="仿宋_GB2312" w:eastAsia="仿宋_GB2312"/>
          <w:sz w:val="28"/>
        </w:rPr>
        <w:t xml:space="preserve">  示范企业认定工作遵循公平、公正、公开原则，统筹规划，合理配置资源，规范、有序推进。</w:t>
      </w:r>
    </w:p>
    <w:p>
      <w:pPr>
        <w:adjustRightInd w:val="0"/>
        <w:snapToGrid w:val="0"/>
        <w:spacing w:line="360" w:lineRule="auto"/>
        <w:ind w:firstLine="560" w:firstLineChars="200"/>
        <w:rPr>
          <w:rFonts w:ascii="仿宋_GB2312" w:eastAsia="仿宋_GB2312"/>
          <w:spacing w:val="-6"/>
          <w:sz w:val="28"/>
        </w:rPr>
      </w:pPr>
      <w:r>
        <w:rPr>
          <w:rFonts w:hint="eastAsia" w:ascii="黑体" w:eastAsia="黑体"/>
          <w:sz w:val="28"/>
        </w:rPr>
        <w:t>第四条</w:t>
      </w:r>
      <w:r>
        <w:rPr>
          <w:rFonts w:hint="eastAsia" w:ascii="仿宋_GB2312" w:eastAsia="仿宋_GB2312"/>
          <w:sz w:val="28"/>
        </w:rPr>
        <w:t xml:space="preserve">  中</w:t>
      </w:r>
      <w:r>
        <w:rPr>
          <w:rFonts w:hint="eastAsia" w:ascii="仿宋_GB2312" w:eastAsia="仿宋_GB2312"/>
          <w:spacing w:val="-6"/>
          <w:sz w:val="28"/>
        </w:rPr>
        <w:t>国石油和化学工业联合会科技与装备部负责示范企业认定的相关管理工作。</w:t>
      </w:r>
    </w:p>
    <w:p>
      <w:pPr>
        <w:adjustRightInd w:val="0"/>
        <w:snapToGrid w:val="0"/>
        <w:spacing w:line="360" w:lineRule="auto"/>
        <w:jc w:val="center"/>
        <w:rPr>
          <w:rFonts w:ascii="黑体" w:eastAsia="黑体"/>
          <w:bCs/>
          <w:sz w:val="28"/>
        </w:rPr>
      </w:pPr>
      <w:r>
        <w:rPr>
          <w:rFonts w:hint="eastAsia" w:ascii="黑体" w:eastAsia="黑体"/>
          <w:bCs/>
          <w:sz w:val="28"/>
        </w:rPr>
        <w:t>第二章  认定</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第五条</w:t>
      </w:r>
      <w:r>
        <w:rPr>
          <w:rFonts w:hint="eastAsia" w:ascii="仿宋_GB2312" w:eastAsia="仿宋_GB2312"/>
          <w:sz w:val="28"/>
        </w:rPr>
        <w:t xml:space="preserve">  示范企业每年组织认定一次。</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第六条</w:t>
      </w:r>
      <w:r>
        <w:rPr>
          <w:rFonts w:hint="eastAsia" w:ascii="仿宋_GB2312" w:eastAsia="仿宋_GB2312"/>
          <w:sz w:val="28"/>
        </w:rPr>
        <w:t xml:space="preserve">  申报示范企业的基本条件</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 xml:space="preserve">（一）具有独立法人资格的国有、合资（中方控股）、民营等各种所有制的企业。 </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（二）重视知识产权工作，建有较为完善的知识产权管理制度，并有效执行。</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（三）企业积累和储备有一定数量的知识产权，</w:t>
      </w:r>
      <w:bookmarkStart w:id="0" w:name="OLE_LINK5"/>
      <w:bookmarkStart w:id="1" w:name="OLE_LINK3"/>
      <w:bookmarkStart w:id="2" w:name="OLE_LINK4"/>
      <w:r>
        <w:rPr>
          <w:rFonts w:hint="eastAsia" w:ascii="仿宋_GB2312" w:eastAsia="仿宋_GB2312"/>
          <w:sz w:val="28"/>
        </w:rPr>
        <w:t>重视知识产权许可转让、质押融资或产学研用协同创新。</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（四）守法经营，没有经法院判决认定的恶意侵权和滥用知识产权行为。</w:t>
      </w:r>
    </w:p>
    <w:bookmarkEnd w:id="0"/>
    <w:bookmarkEnd w:id="1"/>
    <w:bookmarkEnd w:id="2"/>
    <w:p>
      <w:pPr>
        <w:adjustRightInd w:val="0"/>
        <w:snapToGrid w:val="0"/>
        <w:spacing w:line="360" w:lineRule="auto"/>
        <w:ind w:firstLine="560" w:firstLineChars="200"/>
        <w:rPr>
          <w:rFonts w:ascii="仿宋_GB2312" w:eastAsia="仿宋_GB2312"/>
          <w:b/>
          <w:sz w:val="28"/>
        </w:rPr>
      </w:pPr>
      <w:r>
        <w:rPr>
          <w:rFonts w:hint="eastAsia" w:ascii="黑体" w:eastAsia="黑体"/>
          <w:sz w:val="28"/>
        </w:rPr>
        <w:t>第七条</w:t>
      </w:r>
      <w:r>
        <w:rPr>
          <w:rFonts w:hint="eastAsia" w:ascii="仿宋_GB2312" w:eastAsia="仿宋_GB2312"/>
          <w:sz w:val="28"/>
        </w:rPr>
        <w:t xml:space="preserve">  认定标准</w:t>
      </w:r>
    </w:p>
    <w:p>
      <w:pPr>
        <w:adjustRightInd w:val="0"/>
        <w:snapToGrid w:val="0"/>
        <w:spacing w:line="360" w:lineRule="auto"/>
        <w:ind w:firstLine="537" w:firstLineChars="192"/>
        <w:rPr>
          <w:rFonts w:ascii="仿宋_GB2312" w:eastAsia="仿宋_GB2312"/>
          <w:color w:val="FF0000"/>
          <w:sz w:val="28"/>
        </w:rPr>
      </w:pPr>
      <w:r>
        <w:rPr>
          <w:rFonts w:hint="eastAsia" w:ascii="仿宋_GB2312" w:eastAsia="仿宋_GB2312"/>
          <w:sz w:val="28"/>
        </w:rPr>
        <w:t>《中国石油和化工行业企业知识产权评价指标体系》评分达</w:t>
      </w:r>
      <w:r>
        <w:rPr>
          <w:rFonts w:ascii="仿宋_GB2312" w:eastAsia="仿宋_GB2312"/>
          <w:sz w:val="28"/>
        </w:rPr>
        <w:t>80</w:t>
      </w:r>
      <w:r>
        <w:rPr>
          <w:rFonts w:hint="eastAsia" w:ascii="仿宋_GB2312" w:eastAsia="仿宋_GB2312"/>
          <w:sz w:val="28"/>
        </w:rPr>
        <w:t>分以上的企业。</w:t>
      </w:r>
    </w:p>
    <w:p>
      <w:pPr>
        <w:adjustRightInd w:val="0"/>
        <w:snapToGrid w:val="0"/>
        <w:spacing w:line="360" w:lineRule="auto"/>
        <w:jc w:val="center"/>
        <w:rPr>
          <w:rFonts w:ascii="黑体" w:eastAsia="黑体"/>
          <w:bCs/>
          <w:sz w:val="28"/>
        </w:rPr>
      </w:pPr>
      <w:r>
        <w:rPr>
          <w:rFonts w:hint="eastAsia" w:ascii="黑体" w:eastAsia="黑体"/>
          <w:bCs/>
          <w:sz w:val="28"/>
        </w:rPr>
        <w:t>第三章  工作程序</w:t>
      </w:r>
    </w:p>
    <w:p>
      <w:pPr>
        <w:adjustRightInd w:val="0"/>
        <w:snapToGrid w:val="0"/>
        <w:spacing w:line="360" w:lineRule="auto"/>
        <w:ind w:firstLine="537" w:firstLineChars="192"/>
        <w:rPr>
          <w:rFonts w:ascii="仿宋_GB2312" w:eastAsia="仿宋_GB2312"/>
          <w:sz w:val="28"/>
        </w:rPr>
      </w:pPr>
      <w:r>
        <w:rPr>
          <w:rFonts w:hint="eastAsia" w:ascii="黑体" w:eastAsia="黑体"/>
          <w:sz w:val="28"/>
        </w:rPr>
        <w:t>第八条</w:t>
      </w:r>
      <w:r>
        <w:rPr>
          <w:rFonts w:hint="eastAsia" w:ascii="仿宋_GB2312" w:eastAsia="仿宋_GB2312"/>
          <w:sz w:val="28"/>
        </w:rPr>
        <w:t xml:space="preserve">  认定组织机构</w:t>
      </w:r>
    </w:p>
    <w:p>
      <w:pPr>
        <w:adjustRightInd w:val="0"/>
        <w:snapToGrid w:val="0"/>
        <w:spacing w:line="360" w:lineRule="auto"/>
        <w:ind w:firstLine="522" w:firstLineChars="192"/>
        <w:rPr>
          <w:rFonts w:ascii="仿宋_GB2312" w:eastAsia="仿宋_GB2312"/>
          <w:spacing w:val="-10"/>
          <w:sz w:val="28"/>
        </w:rPr>
      </w:pPr>
      <w:r>
        <w:rPr>
          <w:rFonts w:hint="eastAsia" w:ascii="仿宋_GB2312" w:eastAsia="仿宋_GB2312"/>
          <w:spacing w:val="-4"/>
          <w:sz w:val="28"/>
        </w:rPr>
        <w:t>（一）设立</w:t>
      </w:r>
      <w:r>
        <w:rPr>
          <w:rFonts w:hint="eastAsia" w:ascii="仿宋_GB2312" w:eastAsia="仿宋_GB2312"/>
          <w:sz w:val="28"/>
        </w:rPr>
        <w:t>认定办公室。认定办公室设在联合会科技与装备部，主任由联合会科技与装备部主管领导兼任。具体负责认定办法的制定，认定专家的推荐，认定活动的组织等</w:t>
      </w:r>
      <w:r>
        <w:rPr>
          <w:rFonts w:hint="eastAsia" w:ascii="仿宋_GB2312" w:eastAsia="仿宋_GB2312"/>
          <w:spacing w:val="-10"/>
          <w:sz w:val="28"/>
        </w:rPr>
        <w:t>。</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（二）成立认定专家组。成员由认定办公室推荐，经联合会主管会领导批准、聘任。</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第九条</w:t>
      </w:r>
      <w:r>
        <w:rPr>
          <w:rFonts w:hint="eastAsia" w:ascii="仿宋_GB2312" w:eastAsia="仿宋_GB2312"/>
          <w:sz w:val="28"/>
        </w:rPr>
        <w:t xml:space="preserve">  认定申请</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（一）符合申报条件的企业可直接向认定办公室申报。</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（二）申报材料包括：《中国石油和化工行业知识产权示范企业申报书》（该申报书可从中国石油和化学工业联合会网站下载），申报材料要求一式五份以及申报书的电子版。</w:t>
      </w:r>
    </w:p>
    <w:p>
      <w:pPr>
        <w:adjustRightInd w:val="0"/>
        <w:snapToGrid w:val="0"/>
        <w:spacing w:line="360" w:lineRule="auto"/>
        <w:ind w:firstLine="560" w:firstLineChars="200"/>
        <w:rPr>
          <w:rFonts w:ascii="仿宋_GB2312" w:eastAsia="仿宋_GB2312"/>
          <w:sz w:val="28"/>
        </w:rPr>
      </w:pPr>
      <w:r>
        <w:rPr>
          <w:rFonts w:hint="eastAsia" w:ascii="黑体" w:eastAsia="黑体"/>
          <w:sz w:val="28"/>
        </w:rPr>
        <w:t>第十条</w:t>
      </w:r>
      <w:r>
        <w:rPr>
          <w:rFonts w:hint="eastAsia" w:ascii="仿宋_GB2312" w:eastAsia="仿宋_GB2312"/>
          <w:sz w:val="28"/>
        </w:rPr>
        <w:t xml:space="preserve">  认定程序</w:t>
      </w:r>
    </w:p>
    <w:p>
      <w:pPr>
        <w:pStyle w:val="7"/>
        <w:adjustRightInd w:val="0"/>
        <w:snapToGrid w:val="0"/>
        <w:spacing w:line="360" w:lineRule="auto"/>
        <w:rPr>
          <w:rFonts w:ascii="Times New Roman"/>
          <w:snapToGrid/>
        </w:rPr>
      </w:pPr>
      <w:r>
        <w:rPr>
          <w:rFonts w:hint="eastAsia" w:ascii="Times New Roman"/>
          <w:snapToGrid/>
        </w:rPr>
        <w:t>（一）形式审查。认定办公室对各企业申报材料进行形式审查，确定符合认定的企业名单。</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（二）会议认定。由认定专家组根据企业技术创新工作情况进行审议，确定认定企业建议名单。</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（三）公示。认定办公室将认定企业名单在媒体上公示。</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（四）批准。认定办公室将公示结果报联合会主管会领导审查，经联合会主管会领导批准，最终确定认定企业名单。</w:t>
      </w:r>
    </w:p>
    <w:p>
      <w:pPr>
        <w:adjustRightInd w:val="0"/>
        <w:snapToGrid w:val="0"/>
        <w:spacing w:line="360" w:lineRule="auto"/>
        <w:jc w:val="center"/>
        <w:rPr>
          <w:rFonts w:ascii="黑体" w:eastAsia="黑体"/>
          <w:bCs/>
          <w:sz w:val="28"/>
        </w:rPr>
      </w:pPr>
      <w:r>
        <w:rPr>
          <w:rFonts w:hint="eastAsia" w:ascii="黑体" w:eastAsia="黑体"/>
          <w:bCs/>
          <w:sz w:val="28"/>
        </w:rPr>
        <w:t>第四章  示范企业管理</w:t>
      </w:r>
    </w:p>
    <w:p>
      <w:pPr>
        <w:pStyle w:val="11"/>
        <w:adjustRightInd w:val="0"/>
        <w:snapToGrid w:val="0"/>
        <w:spacing w:line="360" w:lineRule="auto"/>
        <w:rPr>
          <w:rFonts w:ascii="仿宋_GB2312" w:eastAsia="仿宋_GB2312"/>
          <w:kern w:val="32"/>
        </w:rPr>
      </w:pPr>
      <w:r>
        <w:rPr>
          <w:rFonts w:hint="eastAsia" w:ascii="黑体" w:eastAsia="黑体"/>
          <w:kern w:val="32"/>
        </w:rPr>
        <w:t xml:space="preserve">第十一条  </w:t>
      </w:r>
      <w:r>
        <w:rPr>
          <w:rFonts w:hint="eastAsia" w:ascii="仿宋_GB2312" w:eastAsia="仿宋_GB2312"/>
          <w:kern w:val="32"/>
        </w:rPr>
        <w:t>示范企业名录及发展情况将在国家石油化工网上公布。</w:t>
      </w:r>
    </w:p>
    <w:p>
      <w:pPr>
        <w:pStyle w:val="11"/>
        <w:adjustRightInd w:val="0"/>
        <w:snapToGrid w:val="0"/>
        <w:spacing w:line="360" w:lineRule="auto"/>
        <w:rPr>
          <w:rFonts w:ascii="仿宋_GB2312" w:eastAsia="仿宋_GB2312"/>
          <w:kern w:val="32"/>
        </w:rPr>
      </w:pPr>
      <w:r>
        <w:rPr>
          <w:rFonts w:hint="eastAsia" w:ascii="黑体" w:eastAsia="黑体"/>
          <w:kern w:val="32"/>
        </w:rPr>
        <w:t>第十二条</w:t>
      </w:r>
      <w:r>
        <w:rPr>
          <w:rFonts w:hint="eastAsia" w:ascii="仿宋_GB2312" w:eastAsia="仿宋_GB2312"/>
          <w:kern w:val="32"/>
        </w:rPr>
        <w:t xml:space="preserve">  联合会对示范企业实行动态管理，依据本办法每三年进行一次复审，对合格的示范企业予以确认，对不合格的示范企业撤销其称号。</w:t>
      </w:r>
    </w:p>
    <w:p>
      <w:pPr>
        <w:pStyle w:val="11"/>
        <w:adjustRightInd w:val="0"/>
        <w:snapToGrid w:val="0"/>
        <w:spacing w:line="360" w:lineRule="auto"/>
        <w:rPr>
          <w:rFonts w:ascii="仿宋_GB2312" w:eastAsia="仿宋_GB2312"/>
          <w:kern w:val="32"/>
        </w:rPr>
      </w:pPr>
      <w:r>
        <w:rPr>
          <w:rFonts w:hint="eastAsia" w:ascii="黑体" w:eastAsia="黑体"/>
          <w:kern w:val="32"/>
        </w:rPr>
        <w:t>第十三条</w:t>
      </w:r>
      <w:r>
        <w:rPr>
          <w:rFonts w:hint="eastAsia" w:ascii="仿宋_GB2312" w:eastAsia="仿宋_GB2312"/>
          <w:kern w:val="32"/>
        </w:rPr>
        <w:t xml:space="preserve">  对获得认定的企业，在近3年有以下情况之一的，由认定办公室提出撤销认定的意见，经联合会主管会领导批准，撤销认定并追回证书和证牌，同时在媒体上公布，并且2年内不得再次申报：</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1.在知识产权、质量安全、节能环保等方面受到行政处罚的；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2.存在恶意侵犯知识产权行为的；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3.骗取专利申请资助奖励费用的；</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4.伪造证明材料、虚报数据的。</w:t>
      </w:r>
    </w:p>
    <w:p>
      <w:pPr>
        <w:adjustRightInd w:val="0"/>
        <w:snapToGrid w:val="0"/>
        <w:spacing w:line="360" w:lineRule="auto"/>
        <w:jc w:val="center"/>
        <w:rPr>
          <w:rFonts w:ascii="黑体" w:eastAsia="黑体"/>
          <w:bCs/>
          <w:sz w:val="28"/>
        </w:rPr>
      </w:pPr>
      <w:r>
        <w:rPr>
          <w:rFonts w:hint="eastAsia" w:ascii="黑体" w:eastAsia="黑体"/>
          <w:bCs/>
          <w:sz w:val="28"/>
        </w:rPr>
        <w:t>第五章  权利和义务</w:t>
      </w:r>
    </w:p>
    <w:p>
      <w:pPr>
        <w:adjustRightInd w:val="0"/>
        <w:snapToGrid w:val="0"/>
        <w:spacing w:line="360" w:lineRule="auto"/>
        <w:ind w:firstLine="537" w:firstLineChars="192"/>
        <w:rPr>
          <w:rFonts w:ascii="仿宋_GB2312" w:eastAsia="仿宋_GB2312"/>
          <w:kern w:val="28"/>
          <w:sz w:val="28"/>
        </w:rPr>
      </w:pPr>
      <w:r>
        <w:rPr>
          <w:rFonts w:hint="eastAsia" w:ascii="黑体" w:eastAsia="黑体"/>
          <w:sz w:val="28"/>
        </w:rPr>
        <w:t xml:space="preserve">第十四条  </w:t>
      </w:r>
      <w:r>
        <w:rPr>
          <w:rFonts w:hint="eastAsia" w:ascii="仿宋_GB2312" w:eastAsia="仿宋_GB2312"/>
          <w:kern w:val="28"/>
          <w:sz w:val="28"/>
        </w:rPr>
        <w:t>享有的权利：</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（一）享有示范企业荣誉称号。</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（二）优先获取联合会提供的相关政策、信息、成果鉴定、技术推广、奖励申报等服务。</w:t>
      </w:r>
    </w:p>
    <w:p>
      <w:pPr>
        <w:adjustRightInd w:val="0"/>
        <w:snapToGrid w:val="0"/>
        <w:spacing w:line="360" w:lineRule="auto"/>
        <w:ind w:firstLine="560" w:firstLineChars="200"/>
        <w:rPr>
          <w:rFonts w:ascii="仿宋_GB2312" w:eastAsia="仿宋_GB2312"/>
          <w:sz w:val="28"/>
        </w:rPr>
      </w:pPr>
      <w:r>
        <w:rPr>
          <w:rFonts w:hint="eastAsia" w:ascii="仿宋_GB2312" w:eastAsia="仿宋_GB2312"/>
          <w:kern w:val="28"/>
          <w:sz w:val="28"/>
        </w:rPr>
        <w:t>（三）</w:t>
      </w:r>
      <w:r>
        <w:rPr>
          <w:rFonts w:hint="eastAsia" w:ascii="仿宋_GB2312" w:eastAsia="仿宋_GB2312"/>
          <w:sz w:val="28"/>
        </w:rPr>
        <w:t>优先推荐参加国家部委组织的相关评选活动。</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（四）在行业知识产权服务工作开展中，优先得到培育。</w:t>
      </w:r>
    </w:p>
    <w:p>
      <w:pPr>
        <w:adjustRightInd w:val="0"/>
        <w:snapToGrid w:val="0"/>
        <w:spacing w:line="360" w:lineRule="auto"/>
        <w:ind w:firstLine="560" w:firstLineChars="200"/>
        <w:rPr>
          <w:rFonts w:ascii="仿宋_GB2312" w:eastAsia="仿宋_GB2312"/>
          <w:kern w:val="28"/>
          <w:sz w:val="28"/>
        </w:rPr>
      </w:pPr>
      <w:r>
        <w:rPr>
          <w:rFonts w:hint="eastAsia" w:ascii="黑体" w:eastAsia="黑体"/>
          <w:sz w:val="28"/>
        </w:rPr>
        <w:t>第十五条</w:t>
      </w:r>
      <w:r>
        <w:rPr>
          <w:rFonts w:hint="eastAsia" w:ascii="仿宋_GB2312" w:eastAsia="仿宋_GB2312"/>
          <w:kern w:val="28"/>
          <w:sz w:val="28"/>
        </w:rPr>
        <w:t xml:space="preserve">  承担的义务：</w:t>
      </w:r>
    </w:p>
    <w:p>
      <w:pPr>
        <w:adjustRightInd w:val="0"/>
        <w:snapToGrid w:val="0"/>
        <w:spacing w:line="360" w:lineRule="auto"/>
        <w:ind w:firstLine="560" w:firstLineChars="200"/>
        <w:rPr>
          <w:rFonts w:ascii="仿宋_GB2312" w:eastAsia="仿宋_GB2312"/>
          <w:kern w:val="28"/>
          <w:sz w:val="28"/>
        </w:rPr>
      </w:pPr>
      <w:r>
        <w:rPr>
          <w:rFonts w:hint="eastAsia" w:ascii="仿宋_GB2312" w:eastAsia="仿宋_GB2312"/>
          <w:kern w:val="28"/>
          <w:sz w:val="28"/>
        </w:rPr>
        <w:t>（一）参加联合会组织的相关示范企业专题活动。</w:t>
      </w:r>
    </w:p>
    <w:p>
      <w:pPr>
        <w:pStyle w:val="7"/>
        <w:adjustRightInd w:val="0"/>
        <w:snapToGrid w:val="0"/>
        <w:spacing w:line="360" w:lineRule="auto"/>
        <w:rPr>
          <w:snapToGrid/>
          <w:kern w:val="28"/>
        </w:rPr>
      </w:pPr>
      <w:r>
        <w:rPr>
          <w:rFonts w:hint="eastAsia"/>
          <w:snapToGrid/>
          <w:kern w:val="28"/>
        </w:rPr>
        <w:t>（二）在有效期内接受认定办公室的不定期工作检查，以确保企业知识产权工作成效，并持续改进。</w:t>
      </w:r>
    </w:p>
    <w:p>
      <w:pPr>
        <w:pStyle w:val="5"/>
        <w:adjustRightInd w:val="0"/>
        <w:snapToGrid w:val="0"/>
        <w:spacing w:line="360" w:lineRule="auto"/>
      </w:pPr>
      <w:r>
        <w:rPr>
          <w:rFonts w:hint="eastAsia"/>
        </w:rPr>
        <w:t>（三）企业经营活动发生重大变化，导致不符合认定标准时，应及时向认定办公室提出撤消认定的申请。</w:t>
      </w:r>
    </w:p>
    <w:p>
      <w:pPr>
        <w:adjustRightInd w:val="0"/>
        <w:snapToGrid w:val="0"/>
        <w:spacing w:line="360" w:lineRule="auto"/>
        <w:ind w:firstLine="537" w:firstLineChars="192"/>
        <w:rPr>
          <w:rFonts w:ascii="仿宋_GB2312" w:eastAsia="仿宋_GB2312"/>
          <w:sz w:val="28"/>
        </w:rPr>
      </w:pPr>
      <w:r>
        <w:rPr>
          <w:rFonts w:hint="eastAsia" w:ascii="仿宋_GB2312" w:eastAsia="仿宋_GB2312"/>
          <w:sz w:val="28"/>
        </w:rPr>
        <w:t>（四）有效期满后，若需要继续认定，必须提出继续认定的申请，并按申报程序再行申报。</w:t>
      </w:r>
    </w:p>
    <w:p>
      <w:pPr>
        <w:adjustRightInd w:val="0"/>
        <w:snapToGrid w:val="0"/>
        <w:spacing w:line="360" w:lineRule="auto"/>
        <w:ind w:firstLine="548" w:firstLineChars="196"/>
        <w:rPr>
          <w:rFonts w:ascii="仿宋_GB2312" w:eastAsia="仿宋_GB2312"/>
          <w:kern w:val="28"/>
          <w:sz w:val="28"/>
        </w:rPr>
      </w:pPr>
      <w:r>
        <w:rPr>
          <w:rFonts w:hint="eastAsia" w:ascii="黑体" w:eastAsia="黑体"/>
          <w:sz w:val="28"/>
        </w:rPr>
        <w:t xml:space="preserve">第十六条  </w:t>
      </w:r>
      <w:r>
        <w:rPr>
          <w:rFonts w:hint="eastAsia" w:ascii="仿宋_GB2312" w:eastAsia="仿宋_GB2312"/>
          <w:kern w:val="28"/>
          <w:sz w:val="28"/>
        </w:rPr>
        <w:t>本办法由认定办公室负责解释。</w:t>
      </w:r>
    </w:p>
    <w:p>
      <w:pPr>
        <w:adjustRightInd w:val="0"/>
        <w:snapToGrid w:val="0"/>
        <w:spacing w:line="360" w:lineRule="auto"/>
        <w:ind w:firstLine="560" w:firstLineChars="200"/>
        <w:rPr>
          <w:rFonts w:ascii="仿宋_GB2312" w:eastAsia="仿宋_GB2312"/>
          <w:b/>
          <w:bCs/>
          <w:kern w:val="28"/>
          <w:sz w:val="28"/>
        </w:rPr>
      </w:pPr>
      <w:r>
        <w:rPr>
          <w:rFonts w:hint="eastAsia" w:ascii="黑体" w:eastAsia="黑体"/>
          <w:sz w:val="28"/>
        </w:rPr>
        <w:t xml:space="preserve">第十七条  </w:t>
      </w:r>
      <w:r>
        <w:rPr>
          <w:rFonts w:hint="eastAsia" w:ascii="仿宋_GB2312" w:eastAsia="仿宋_GB2312"/>
          <w:kern w:val="28"/>
          <w:sz w:val="28"/>
        </w:rPr>
        <w:t>本办法自公布之日起执行。</w:t>
      </w: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p>
    <w:sectPr>
      <w:pgSz w:w="11906" w:h="16838"/>
      <w:pgMar w:top="2041" w:right="1803"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DlhNGI4NWIyZGIwMTA3MmYxZWY2MGEyZTlhYjUifQ=="/>
  </w:docVars>
  <w:rsids>
    <w:rsidRoot w:val="004D0133"/>
    <w:rsid w:val="000002E0"/>
    <w:rsid w:val="0001626D"/>
    <w:rsid w:val="00087753"/>
    <w:rsid w:val="000A3210"/>
    <w:rsid w:val="00107ACF"/>
    <w:rsid w:val="00161824"/>
    <w:rsid w:val="001918D6"/>
    <w:rsid w:val="00193A19"/>
    <w:rsid w:val="001E16A0"/>
    <w:rsid w:val="001E63DD"/>
    <w:rsid w:val="001F52B5"/>
    <w:rsid w:val="001F6D19"/>
    <w:rsid w:val="00235A14"/>
    <w:rsid w:val="00237E55"/>
    <w:rsid w:val="00252A36"/>
    <w:rsid w:val="00262EC1"/>
    <w:rsid w:val="00292FEF"/>
    <w:rsid w:val="002C4F01"/>
    <w:rsid w:val="00312FBC"/>
    <w:rsid w:val="00343B89"/>
    <w:rsid w:val="003832C5"/>
    <w:rsid w:val="0039115B"/>
    <w:rsid w:val="003A1265"/>
    <w:rsid w:val="004441D3"/>
    <w:rsid w:val="00485DDE"/>
    <w:rsid w:val="004D0133"/>
    <w:rsid w:val="00511F6D"/>
    <w:rsid w:val="00534B80"/>
    <w:rsid w:val="00540BC4"/>
    <w:rsid w:val="005772C6"/>
    <w:rsid w:val="00593D05"/>
    <w:rsid w:val="00620360"/>
    <w:rsid w:val="0063560C"/>
    <w:rsid w:val="0066428E"/>
    <w:rsid w:val="006A5693"/>
    <w:rsid w:val="00735789"/>
    <w:rsid w:val="007727A4"/>
    <w:rsid w:val="007A225F"/>
    <w:rsid w:val="007F5D0F"/>
    <w:rsid w:val="00862A4A"/>
    <w:rsid w:val="0087160C"/>
    <w:rsid w:val="00894813"/>
    <w:rsid w:val="008A1F2E"/>
    <w:rsid w:val="008B326F"/>
    <w:rsid w:val="00902603"/>
    <w:rsid w:val="00914BCA"/>
    <w:rsid w:val="00924D5D"/>
    <w:rsid w:val="0097246F"/>
    <w:rsid w:val="009A6621"/>
    <w:rsid w:val="009C742C"/>
    <w:rsid w:val="009D602F"/>
    <w:rsid w:val="00A64719"/>
    <w:rsid w:val="00A945B4"/>
    <w:rsid w:val="00AA2738"/>
    <w:rsid w:val="00AB329A"/>
    <w:rsid w:val="00AC3D59"/>
    <w:rsid w:val="00AC4DC8"/>
    <w:rsid w:val="00AC5EF4"/>
    <w:rsid w:val="00AC75EF"/>
    <w:rsid w:val="00AE6953"/>
    <w:rsid w:val="00AF5B3B"/>
    <w:rsid w:val="00B139D0"/>
    <w:rsid w:val="00B56571"/>
    <w:rsid w:val="00B772B7"/>
    <w:rsid w:val="00BE68EE"/>
    <w:rsid w:val="00C076B6"/>
    <w:rsid w:val="00C355EF"/>
    <w:rsid w:val="00C3623E"/>
    <w:rsid w:val="00CA545C"/>
    <w:rsid w:val="00CC5F87"/>
    <w:rsid w:val="00D3545D"/>
    <w:rsid w:val="00D55F26"/>
    <w:rsid w:val="00D91E19"/>
    <w:rsid w:val="00DA50F2"/>
    <w:rsid w:val="00DD63F2"/>
    <w:rsid w:val="00DE3A62"/>
    <w:rsid w:val="00DE6123"/>
    <w:rsid w:val="00E076D2"/>
    <w:rsid w:val="00E13031"/>
    <w:rsid w:val="00E2542E"/>
    <w:rsid w:val="00EC61D0"/>
    <w:rsid w:val="00ED0928"/>
    <w:rsid w:val="00EE536E"/>
    <w:rsid w:val="00EF15B9"/>
    <w:rsid w:val="00F03236"/>
    <w:rsid w:val="00F17E32"/>
    <w:rsid w:val="00F52CF5"/>
    <w:rsid w:val="00F554CB"/>
    <w:rsid w:val="00F65FD1"/>
    <w:rsid w:val="26630257"/>
    <w:rsid w:val="2753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6" w:lineRule="auto"/>
      <w:outlineLvl w:val="0"/>
    </w:pPr>
    <w:rPr>
      <w:rFonts w:ascii="Times New Roman" w:hAnsi="Times New Roman" w:eastAsia="黑体" w:cs="Times New Roman"/>
      <w:kern w:val="44"/>
      <w:sz w:val="36"/>
      <w:szCs w:val="20"/>
    </w:rPr>
  </w:style>
  <w:style w:type="paragraph" w:styleId="3">
    <w:name w:val="heading 3"/>
    <w:basedOn w:val="1"/>
    <w:next w:val="1"/>
    <w:link w:val="23"/>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ody Text Indent"/>
    <w:basedOn w:val="1"/>
    <w:link w:val="20"/>
    <w:semiHidden/>
    <w:qFormat/>
    <w:uiPriority w:val="0"/>
    <w:pPr>
      <w:spacing w:line="420" w:lineRule="exact"/>
      <w:ind w:firstLine="538" w:firstLineChars="192"/>
    </w:pPr>
    <w:rPr>
      <w:rFonts w:ascii="仿宋_GB2312" w:hAnsi="Times New Roman" w:eastAsia="仿宋_GB2312" w:cs="Times New Roman"/>
      <w:kern w:val="32"/>
      <w:sz w:val="28"/>
      <w:szCs w:val="24"/>
    </w:rPr>
  </w:style>
  <w:style w:type="paragraph" w:styleId="6">
    <w:name w:val="Date"/>
    <w:basedOn w:val="1"/>
    <w:next w:val="1"/>
    <w:link w:val="18"/>
    <w:semiHidden/>
    <w:unhideWhenUsed/>
    <w:qFormat/>
    <w:uiPriority w:val="99"/>
    <w:pPr>
      <w:ind w:left="100" w:leftChars="2500"/>
    </w:pPr>
  </w:style>
  <w:style w:type="paragraph" w:styleId="7">
    <w:name w:val="Body Text Indent 2"/>
    <w:basedOn w:val="1"/>
    <w:link w:val="21"/>
    <w:semiHidden/>
    <w:qFormat/>
    <w:uiPriority w:val="0"/>
    <w:pPr>
      <w:spacing w:line="420" w:lineRule="exact"/>
      <w:ind w:firstLine="560" w:firstLineChars="200"/>
    </w:pPr>
    <w:rPr>
      <w:rFonts w:ascii="仿宋_GB2312" w:hAnsi="Times New Roman" w:eastAsia="仿宋_GB2312" w:cs="Times New Roman"/>
      <w:snapToGrid w:val="0"/>
      <w:kern w:val="0"/>
      <w:sz w:val="28"/>
      <w:szCs w:val="24"/>
    </w:rPr>
  </w:style>
  <w:style w:type="paragraph" w:styleId="8">
    <w:name w:val="Balloon Text"/>
    <w:basedOn w:val="1"/>
    <w:link w:val="27"/>
    <w:semiHidden/>
    <w:unhideWhenUsed/>
    <w:qFormat/>
    <w:uiPriority w:val="99"/>
    <w:rPr>
      <w:sz w:val="18"/>
      <w:szCs w:val="18"/>
    </w:rPr>
  </w:style>
  <w:style w:type="paragraph" w:styleId="9">
    <w:name w:val="footer"/>
    <w:basedOn w:val="1"/>
    <w:link w:val="17"/>
    <w:unhideWhenUsed/>
    <w:uiPriority w:val="0"/>
    <w:pPr>
      <w:tabs>
        <w:tab w:val="center" w:pos="4153"/>
        <w:tab w:val="right" w:pos="8306"/>
      </w:tabs>
      <w:snapToGrid w:val="0"/>
      <w:jc w:val="left"/>
    </w:pPr>
    <w:rPr>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19"/>
    <w:semiHidden/>
    <w:uiPriority w:val="0"/>
    <w:pPr>
      <w:spacing w:line="360" w:lineRule="exact"/>
      <w:ind w:firstLine="599" w:firstLineChars="214"/>
    </w:pPr>
    <w:rPr>
      <w:rFonts w:ascii="楷体_GB2312" w:hAnsi="Times New Roman" w:eastAsia="楷体_GB2312" w:cs="Times New Roman"/>
      <w:sz w:val="28"/>
      <w:szCs w:val="24"/>
    </w:rPr>
  </w:style>
  <w:style w:type="paragraph" w:styleId="12">
    <w:name w:val="annotation subject"/>
    <w:basedOn w:val="4"/>
    <w:next w:val="4"/>
    <w:link w:val="25"/>
    <w:semiHidden/>
    <w:unhideWhenUsed/>
    <w:qFormat/>
    <w:uiPriority w:val="99"/>
    <w:rPr>
      <w:b/>
      <w:bCs/>
    </w:r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10"/>
    <w:semiHidden/>
    <w:qFormat/>
    <w:uiPriority w:val="99"/>
    <w:rPr>
      <w:sz w:val="18"/>
      <w:szCs w:val="18"/>
    </w:rPr>
  </w:style>
  <w:style w:type="character" w:customStyle="1" w:styleId="17">
    <w:name w:val="页脚 字符"/>
    <w:basedOn w:val="14"/>
    <w:link w:val="9"/>
    <w:semiHidden/>
    <w:uiPriority w:val="99"/>
    <w:rPr>
      <w:sz w:val="18"/>
      <w:szCs w:val="18"/>
    </w:rPr>
  </w:style>
  <w:style w:type="character" w:customStyle="1" w:styleId="18">
    <w:name w:val="日期 字符"/>
    <w:basedOn w:val="14"/>
    <w:link w:val="6"/>
    <w:semiHidden/>
    <w:qFormat/>
    <w:uiPriority w:val="99"/>
  </w:style>
  <w:style w:type="character" w:customStyle="1" w:styleId="19">
    <w:name w:val="正文文本缩进 3 字符"/>
    <w:basedOn w:val="14"/>
    <w:link w:val="11"/>
    <w:semiHidden/>
    <w:qFormat/>
    <w:uiPriority w:val="0"/>
    <w:rPr>
      <w:rFonts w:ascii="楷体_GB2312" w:hAnsi="Times New Roman" w:eastAsia="楷体_GB2312" w:cs="Times New Roman"/>
      <w:sz w:val="28"/>
      <w:szCs w:val="24"/>
    </w:rPr>
  </w:style>
  <w:style w:type="character" w:customStyle="1" w:styleId="20">
    <w:name w:val="正文文本缩进 字符"/>
    <w:basedOn w:val="14"/>
    <w:link w:val="5"/>
    <w:semiHidden/>
    <w:qFormat/>
    <w:uiPriority w:val="0"/>
    <w:rPr>
      <w:rFonts w:ascii="仿宋_GB2312" w:hAnsi="Times New Roman" w:eastAsia="仿宋_GB2312" w:cs="Times New Roman"/>
      <w:kern w:val="32"/>
      <w:sz w:val="28"/>
      <w:szCs w:val="24"/>
    </w:rPr>
  </w:style>
  <w:style w:type="character" w:customStyle="1" w:styleId="21">
    <w:name w:val="正文文本缩进 2 字符"/>
    <w:basedOn w:val="14"/>
    <w:link w:val="7"/>
    <w:semiHidden/>
    <w:qFormat/>
    <w:uiPriority w:val="0"/>
    <w:rPr>
      <w:rFonts w:ascii="仿宋_GB2312" w:hAnsi="Times New Roman" w:eastAsia="仿宋_GB2312" w:cs="Times New Roman"/>
      <w:snapToGrid w:val="0"/>
      <w:kern w:val="0"/>
      <w:sz w:val="28"/>
      <w:szCs w:val="24"/>
    </w:rPr>
  </w:style>
  <w:style w:type="character" w:customStyle="1" w:styleId="22">
    <w:name w:val="标题 1 字符"/>
    <w:basedOn w:val="14"/>
    <w:link w:val="2"/>
    <w:qFormat/>
    <w:uiPriority w:val="0"/>
    <w:rPr>
      <w:rFonts w:ascii="Times New Roman" w:hAnsi="Times New Roman" w:eastAsia="黑体" w:cs="Times New Roman"/>
      <w:kern w:val="44"/>
      <w:sz w:val="36"/>
      <w:szCs w:val="20"/>
    </w:rPr>
  </w:style>
  <w:style w:type="character" w:customStyle="1" w:styleId="23">
    <w:name w:val="标题 3 字符"/>
    <w:basedOn w:val="14"/>
    <w:link w:val="3"/>
    <w:qFormat/>
    <w:uiPriority w:val="0"/>
    <w:rPr>
      <w:rFonts w:ascii="Times New Roman" w:hAnsi="Times New Roman" w:eastAsia="宋体" w:cs="Times New Roman"/>
      <w:b/>
      <w:sz w:val="32"/>
      <w:szCs w:val="20"/>
    </w:rPr>
  </w:style>
  <w:style w:type="character" w:customStyle="1" w:styleId="24">
    <w:name w:val="批注文字 字符"/>
    <w:basedOn w:val="14"/>
    <w:link w:val="4"/>
    <w:semiHidden/>
    <w:qFormat/>
    <w:uiPriority w:val="99"/>
  </w:style>
  <w:style w:type="character" w:customStyle="1" w:styleId="25">
    <w:name w:val="批注主题 字符"/>
    <w:basedOn w:val="24"/>
    <w:link w:val="12"/>
    <w:semiHidden/>
    <w:qFormat/>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1520</Words>
  <Characters>1531</Characters>
  <Lines>11</Lines>
  <Paragraphs>3</Paragraphs>
  <TotalTime>113</TotalTime>
  <ScaleCrop>false</ScaleCrop>
  <LinksUpToDate>false</LinksUpToDate>
  <CharactersWithSpaces>1576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2017-06-26T02:28:00Z</dcterms:created>
  <dc:creator>雪无痕-1</dc:creator>
  <cp:lastModifiedBy>wangq</cp:lastModifiedBy>
  <cp:lastPrinted>2022-06-22T08:58:00Z</cp:lastPrinted>
  <dcterms:modified xsi:type="dcterms:W3CDTF">2023-10-10T16:33:52Z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75EA9D6673CA4047A4DE2466DE4D43E0_13</vt:lpwstr>
  </property>
</Properties>
</file>